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2023</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Ente pubblico economico ai sensi dell'art. 2 bis, comma 2, lett. a), del D. lgs. n. 33/2013</w:t>
      </w:r>
      <w:r>
        <w:t xml:space="preserve"> </w:t>
      </w:r>
    </w:p>
    <w:p w14:paraId="22CB76F7" w14:textId="0E0A422F" w:rsidP="00A82AEF" w:rsidR="00234BAF" w:rsidRDefault="00A82AEF">
      <w:r>
        <w:t>Codice fiscale:</w:t>
      </w:r>
      <w:r w:rsidR="00415712">
        <w:t xml:space="preserve"> </w:t>
      </w:r>
      <w:r w:rsidR="00A2153D">
        <w:t>91022300288</w:t>
      </w:r>
    </w:p>
    <w:p w14:paraId="65180C4E" w14:textId="2324E2B8" w:rsidP="00A82AEF" w:rsidR="00D76FA5" w:rsidRDefault="00D76FA5">
      <w:r>
        <w:t>Partita IVA:</w:t>
      </w:r>
      <w:r w:rsidR="00884807">
        <w:t xml:space="preserve"> </w:t>
      </w:r>
      <w:r w:rsidR="00A2153D">
        <w:t>00000000000</w:t>
      </w:r>
    </w:p>
    <w:p w14:paraId="2DD638ED" w14:textId="09ECA5BB" w:rsidP="00A82AEF" w:rsidR="00A82AEF" w:rsidRDefault="00A82AEF">
      <w:r>
        <w:t>Denominazione:</w:t>
      </w:r>
      <w:r w:rsidR="00884807">
        <w:t xml:space="preserve"> </w:t>
      </w:r>
      <w:r w:rsidR="00A2153D">
        <w:t>CONSORZIO DI BONIFICA ADIGE EUGANEO</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 xml:space="preserve">agricoltura, silvicoltura e pesca,altre attivitàdi servizi </w:t>
      </w:r>
    </w:p>
    <w:p w14:paraId="535B98C3" w14:textId="60C1CB83" w:rsidP="00A82AEF" w:rsidR="00234BAF" w:rsidRDefault="00A82AEF">
      <w:r>
        <w:t>Regione di appartenenza:</w:t>
      </w:r>
      <w:r w:rsidR="00884807">
        <w:t xml:space="preserve"> </w:t>
      </w:r>
      <w:r w:rsidR="00B43CD5">
        <w:t>Veneto</w:t>
      </w:r>
      <w:r w:rsidR="00A2153D">
        <w:t/>
      </w:r>
    </w:p>
    <w:p w14:paraId="7D811AF7" w14:textId="0EE16E9C" w:rsidP="00A82AEF" w:rsidR="00A82AEF" w:rsidRDefault="00D76FA5">
      <w:r>
        <w:t>Numero</w:t>
      </w:r>
      <w:r w:rsidR="00A82AEF">
        <w:t xml:space="preserve"> dipendenti:</w:t>
      </w:r>
      <w:r w:rsidR="002C2A45">
        <w:t xml:space="preserve"> </w:t>
      </w:r>
      <w:r w:rsidR="00A2153D">
        <w:t>da 50 a 499</w:t>
      </w:r>
    </w:p>
    <w:p w14:paraId="27495B93" w14:textId="7C84D308" w:rsidP="00A82AEF" w:rsidR="00A82AEF" w:rsidRDefault="00A82AEF">
      <w:r>
        <w:t>Numero Dirigenti:</w:t>
      </w:r>
      <w:r w:rsidR="00415712" w:rsidRPr="00415712">
        <w:t xml:space="preserve"> </w:t>
      </w:r>
      <w:r w:rsidR="00A2153D">
        <w:t>2</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STEFANO</w:t>
      </w:r>
    </w:p>
    <w:p w14:paraId="377D65D3" w14:textId="07FF3AA9" w:rsidP="00A82AEF" w:rsidR="00A82AEF" w:rsidRDefault="00A82AEF">
      <w:r>
        <w:t xml:space="preserve">Cognome </w:t>
      </w:r>
      <w:r w:rsidR="00781E8B">
        <w:t>RPCT</w:t>
      </w:r>
      <w:r>
        <w:t>:</w:t>
      </w:r>
      <w:r w:rsidR="00415712" w:rsidRPr="00415712">
        <w:t xml:space="preserve"> </w:t>
      </w:r>
      <w:r w:rsidR="00A2153D">
        <w:t>VETTORELLO</w:t>
      </w:r>
      <w:r w:rsidR="00234BAF">
        <w:t xml:space="preserve"> </w:t>
      </w:r>
    </w:p>
    <w:p w14:paraId="60B8248B" w14:textId="73F008A4" w:rsidP="00A82AEF" w:rsidR="00A82AEF" w:rsidRDefault="00A82AEF">
      <w:r>
        <w:t>Qualifica:</w:t>
      </w:r>
      <w:r w:rsidR="002C2A45">
        <w:t xml:space="preserve"> </w:t>
      </w:r>
      <w:r w:rsidR="00A2153D">
        <w:t xml:space="preserve"> Direttore Generale</w:t>
      </w:r>
      <w:r w:rsidR="00415712" w:rsidRPr="00415712">
        <w:t xml:space="preserve"> </w:t>
      </w:r>
    </w:p>
    <w:p w14:paraId="135EE0FC" w14:textId="5F55E2AF" w:rsidP="00A82AEF" w:rsidR="00A82AEF" w:rsidRDefault="00A82AEF">
      <w:r>
        <w:t>Posizione occupata:</w:t>
      </w:r>
      <w:r w:rsidR="00415712">
        <w:t xml:space="preserve"> </w:t>
      </w:r>
      <w:r w:rsidR="00A2153D">
        <w:t>Dirigente</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20/02/2015</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No</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Per quanto riguarda le misure non attuate si evidenzia che:</w:t>
        <w:br/>
        <w:t>	-	Per 1 misure non sono state ancora avviate le attività e non saranno avviate nei tempi previsti</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in un apposito codice e sono state adottate nel 2016</w:t>
        <w:br/>
        <w:t>Inoltre le suddette misure sono state aggiornate 3 volte.</w:t>
        <w:br/>
        <w:t/>
        <w:br/>
        <w:t>Tutti gli atti di incarico e i relativi contratti, sono stati adeguati alle previsioni del Codice di Comportamento adottato.</w:t>
        <w:br/>
        <w:t/>
        <w:br/>
        <w:t>Non sono state adottate ulteriori misure che garantiscono l'attuazione delle misure comportamentali per le seguenti motivazioni:</w:t>
        <w:br/>
        <w:t>Non ne è stata ravvisata la necessità</w:t>
        <w:br/>
        <w:t/>
        <w:br/>
        <w:t>È stata prevista una apposita procedura di rilevazione delle situazioni di conflitto di interessi potenziale o reale in particolare sono state effettuate le seguenti attività:</w:t>
        <w:br/>
        <w:t xml:space="preserve">  - acquisizione e conservazione delle dichiarazioni di insussistenza di situazioni di conflitto di interessi da parte dei dipendenti al momento dell’assegnazione all’ufficio o della nomina a RUP</w:t>
        <w:br/>
        <w:t xml:space="preserve">  - predisposizione di appositi moduli per agevolare la tempestiva presentazione della dichiarazione sulla sussistenza di situazioni di conflitto di interessi</w:t>
        <w:br/>
        <w:t xml:space="preserve">  - attività di sensibilizzazione del personale al rispetto di quanto previsto in materia dalla l. n. 241/1990 e dalle misure di comportamento</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Nel documento unitario che tiene luogo del PTPCT o nella sezione apposita del M.O.G. non è stata prevista la misura della Rotazione Ordinaria del Personale per le seguenti motivazioni: La rotazione dei Dirigenti e delle figure con funzioni di responsabilità nel Consorzio può rivelarsi una scelta inefficiente che pregiudicherebbe la qualità, l'efficienza e la convenienza delle attività e dei servizi svolti</w:t>
      </w:r>
    </w:p>
    <w:p w14:paraId="72335899" w14:textId="4C42AF3B" w:rsidP="00050F7D" w:rsidR="00997BF2" w:rsidRDefault="00997BF2">
      <w:r>
        <w:t/>
      </w:r>
    </w:p>
    <w:p w14:paraId="35493B48" w14:textId="407CF617" w:rsidP="00050F7D" w:rsidR="00997BF2" w:rsidRDefault="00997BF2">
      <w:r>
        <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 documento unitario che tiene luogo del PTPCT o nella sezione apposita del M.O.G. si è scelto di non prevedere azioni e modalità organizzative relative alla Rotazione Straordinaria del Personale.</w:t>
        <w:b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 documento unitario che tiene luogo del PTPCT o nella sezione apposita del M.O.G. non sono previste misure ai sensi dell'art. 3 della L. n. 97/2001 per le seguenti motivazioni:dimensioni ridotte della struttura</w:t>
        <w:b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 xml:space="preserve">Le misure in materia di inconferibilità e incompatibilità degli incarichi, pur essendo state programmate nel documento unitario che tiene luogo del PTPCT o nella sezione apposita del M.O.G. di riferimento, non sono state ancora attuate, in particolare: </w:t>
        <w:br/>
        <w:t>Non sono state ancora avviate le attività e non saranno avviate nei tempi previsti per le seguenti motivazioni:</w:t>
        <w:br/>
        <w:t xml:space="preserve">  -  carenza di personale</w:t>
        <w:br/>
        <w:t xml:space="preserve">  -  carenza di competenze</w:t>
        <w:br/>
        <w:t xml:space="preserve">  -  Ridotte dimensioni della struttura</w:t>
      </w:r>
    </w:p>
    <w:p w14:paraId="5778DFBB" w14:textId="44C35BB7" w:rsidP="0083587B" w:rsidR="0069341C" w:rsidRDefault="0069341C">
      <w:r>
        <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Nell'anno di riferimento delle misure di prevenzione della corruzione in esame, sono stati adottati gli interventi idonei a garantire l’adozione della misura “Whistleblowing”, in particolare le segnalazioni possono essere inoltrate tramite:</w:t>
        <w:br/>
        <w:t xml:space="preserve">  - Documento cartaceo</w:t>
        <w:br/>
        <w:t xml:space="preserve">  - Email</w:t>
      </w:r>
    </w:p>
    <w:p w14:paraId="0602532A" w14:textId="7E002B3C" w:rsidP="00D352E2" w:rsidR="000076D6" w:rsidRDefault="000076D6">
      <w:r>
        <w:t/>
        <w:br/>
        <w:t>Possono effettuare le segnalazioni solo gli altri soggetti assimilati a dipendenti pubblici quali ad esempio:</w:t>
        <w:br/>
        <w:t xml:space="preserve">  - consulenti</w:t>
        <w:br/>
        <w:t xml:space="preserve">  - collaboratori</w:t>
        <w:br/>
        <w:t xml:space="preserve">  - Tutti</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9B92150" w14:textId="0BB61749" w:rsidP="00D352E2" w:rsidR="00945379" w:rsidRDefault="00945379">
      <w:r>
        <w:t/>
        <w:br/>
        <w:t>La formazione tecnica/specialistica è stata erogata a:</w:t>
        <w:br/>
        <w:t xml:space="preserve">  - RPCT per un numero medio di ore pari a 22</w:t>
        <w:br/>
        <w:t xml:space="preserve">  - Staff del RPCT per un numero medio di ore pari a 22</w:t>
        <w:br/>
        <w:t xml:space="preserve">  - Referenti per un numero medio di ore pari a 22</w:t>
        <w:br/>
        <w:t xml:space="preserve">  - Dirigenti per un numero medio di ore pari a 4</w:t>
        <w:br/>
        <w:t xml:space="preserve">  - Funzionari per un numero medio di ore pari a 4</w:t>
        <w:br/>
        <w:t xml:space="preserve">  - Altre figure per un numero medio di ore pari a 4</w:t>
      </w:r>
    </w:p>
    <w:p w14:paraId="63A7F8D9" w14:textId="36B2978B" w:rsidP="00D352E2" w:rsidR="00945379" w:rsidRDefault="00945379">
      <w:r>
        <w:t/>
        <w:br/>
        <w:t>Non sono stati somministrati ai partecipanti presenti questionari finalizzati a misurare il loro livello di gradimento e/o apprendimento.</w:t>
      </w:r>
    </w:p>
    <w:p w14:paraId="7C6C7A0C" w14:textId="6D160980" w:rsidP="00D352E2" w:rsidR="00945379" w:rsidRDefault="00945379">
      <w:r>
        <w:t/>
        <w:br/>
        <w:t>La formazione è stata affidata a soggetti esterni in dettaglio:</w:t>
        <w:br/>
        <w:t xml:space="preserve">  - Formazione in house</w:t>
        <w:br/>
        <w:t xml:space="preserve">  - Anac - Organismo di Vigilanza ex D-Lgs.n.231/2001 - Hunext - Avvocato consulente e formatore</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bimestrale.</w:t>
        <w:br/>
        <w:t>I monitoraggi non hanno evidenziato irregolarità nella pubblicazione dei dati.</w:t>
      </w:r>
    </w:p>
    <w:p w14:paraId="1920DBD5" w14:textId="32892E43" w:rsidP="00D352E2" w:rsidR="006D748D" w:rsidRDefault="006D748D">
      <w:r>
        <w:t/>
        <w:br/>
        <w:t>La società/ente ha solo in parte realizzato l'informatizzazione del flusso per alimentare la pubblicazione dei dati nella sezione “Amministrazione/Società trasparente”.</w:t>
        <w:br/>
        <w:t/>
        <w:br/>
        <w:t>Il sito istituzionale, relativamente alla sezione “Amministrazione Società trasparente”, traccia il numero delle visite, in particolare nell’anno di riferimento delle misure di prevenzione della corruzione in esame, il numero totale delle visite al sito ammonta a  40000  e la sezione che ha ricevuto il numero maggiore di visite è stata provvedimenti.</w:t>
        <w:br/>
        <w:t/>
        <w:br/>
        <w:t>La procedura per la gestione delle richieste di accesso civico “semplice”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"semplice".</w:t>
        <w:br/>
        <w:t/>
        <w:br/>
        <w:t>La procedura per la gestione delle richieste di accesso civico “generalizzato”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“generalizzato”.</w:t>
        <w:br/>
        <w:t/>
        <w:br/>
        <w:t>La procedura per la gestione delle richieste di accesso documentale ai sensi della legge n. 241/1990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sono pervenute 18 richieste di accesso documentale che sono state evase con il seguente esito:</w:t>
        <w:br/>
        <w:t xml:space="preserve">  18  richieste con “informazione fornita all'utente”</w:t>
        <w:br/>
        <w:t xml:space="preserve">  0  richieste con “informazione non fornita all'utente”</w:t>
        <w:br/>
        <w:t/>
        <w:br/>
        <w:t>È stata adottata un'unica procedura per la disciplina organica e coordinata delle tre diverse tipologie di accesso: civico semplice, civico generalizzato, documentale ai sensi della legge n. 241/1990.</w:t>
        <w:br/>
        <w:t/>
        <w:br/>
        <w:t>È stato istituito il registro degli accessi ed è stata rispettata l'indicazione che prevede di riportare nel registro l'esito delle istanze</w:t>
        <w:br/>
        <w:t/>
        <w:br/>
        <w:t>In merito al livello di adempimento degli obblighi di trasparenza, si formula il seguente giudizio: Il livello di Trasparenza raggiunto è apprezzabile, per quanto le accurate valutazioni richieste della normativa Privacy rappresentino un limite non trascurabile.</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
        <w:br/>
        <w:t>Nell’anno di riferimento delle misure di prevenzione della corruzione in esame, non sono stati effettuati controlli sull'attuazione della misura.</w:t>
        <w:br/>
        <w:t/>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br/>
        <w:t xml:space="preserve">  - è stata resa dagli interessati espressa dichiarazione di insussistenza della causa ostativa</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dimensioni ridotte della struttura</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neutrale sulla qualità dei servizi</w:t>
        <w:br/>
        <w:t xml:space="preserve">  - neutrale sull'efficienza dei servizi (es. in termini di riduzione dei tempi di erogazione dei servizi)</w:t>
        <w:br/>
        <w:t xml:space="preserve">  - neutrale sul funzionamento della società/ente (es. in termini di semplificazione/snellimento delle procedure)</w:t>
        <w:br/>
        <w:t xml:space="preserve">  - positivo sulla diffusione della cultura della legalità</w:t>
        <w:br/>
        <w:t xml:space="preserve">  - positivo sulle relazioni con i cittadini</w:t>
        <w:br/>
        <w:t xml:space="preserve">  - neutrale su Non si registrano situazioni particolari</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controllo</w:t>
            </w:r>
          </w:p>
        </w:tc>
        <w:tc>
          <w:p>
            <w:r>
              <w:t>3</w:t>
            </w:r>
          </w:p>
        </w:tc>
        <w:tc>
          <w:p>
            <w:r>
              <w:t>3</w:t>
            </w:r>
          </w:p>
        </w:tc>
        <w:tc>
          <w:p>
            <w:r>
              <w:t>0</w:t>
            </w:r>
          </w:p>
        </w:tc>
        <w:tc>
          <w:p>
            <w:r>
              <w:t>100</w:t>
            </w:r>
          </w:p>
        </w:tc>
      </w:tr>
      <w:tr>
        <w:tc>
          <w:p>
            <w:r>
              <w:t>TOTALI</w:t>
            </w:r>
          </w:p>
        </w:tc>
        <w:tc>
          <w:p>
            <w:r>
              <w:t>3</w:t>
            </w:r>
          </w:p>
        </w:tc>
        <w:tc>
          <w:p>
            <w:r>
              <w:t>3</w:t>
            </w:r>
          </w:p>
        </w:tc>
        <w:tc>
          <w:p>
            <w:r>
              <w:t>0</w:t>
            </w:r>
          </w:p>
        </w:tc>
        <w:tc>
          <w:p>
            <w:r>
              <w:t>100</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non sono pervenute segnalazioni per eventi corruttivi.</w:t>
        <w:br/>
        <w:t/>
        <w:br/>
        <w:t xml:space="preserve">Si ritiene che la messa in atto del processo di gestione del rischio abbia generato dentro l’organizzazione i seguenti effetti: </w:t>
        <w:br/>
        <w:t xml:space="preserve">  - la consapevolezza del fenomeno corruttivo è aumentata in ragione di: Incrementata conoscenza delle possibili fattispecie</w:t>
        <w:br/>
        <w:t xml:space="preserve">  - la capacità di individuare e far emergere situazioni di rischio corruttivo e di intervenire con adeguati rimedi è aumentata in ragione di: Incrementata conoscenza delle possibili fattispecie</w:t>
        <w:br/>
        <w:t xml:space="preserve">  - la reputazione dell'ente è aumentata in ragione di: Fattispecie non ricorrenti</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medio per le seguenti ragioni: Date le ridotte dimensioni organizzative della Struttura Consortile, ogni progresso richiede tempi superiori a quelli richiesti</w:t>
        <w:br/>
        <w:t/>
        <w:br/>
        <w:t>Si ritiene che l’idoneità complessiva della strategia di prevenzione della corruzione (definita attraverso una valutazione sintetica) con particolare riferimento alle misure previste nel Piano e attuate sia idoneo per le seguenti ragioni: Trattasi di misure a minimo impatto e di agevole comprensione</w:t>
        <w:br/>
        <w:t/>
        <w:br/>
        <w:t>Si ritiene che l'esercizio del ruolo di impulso e coordinamento del RPCT rispetto alla messa in atto del processo di gestione del rischio (definito attraverso una valutazione sintetica) sia stato idoneo per le seguenti ragioni: Date le ridotte dimensioni organizzative della Struttura Consortile, ogni progresso richiede tempi superiori a quelli richiesti</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Con riferimento all’attuazione delle misure specifiche di controllo, nell’anno di riferimento delle misure di prevenzione della corruzione si evidenzia quanto segue:</w:t>
        <w:br/>
        <w:t xml:space="preserve">  -  Numero di misure programmate: 3</w:t>
        <w:br/>
        <w:t xml:space="preserve">  -  Numero di misure attuate nei tempi previsti: 3</w:t>
        <w:br/>
        <w:t xml:space="preserve">  -  Numero di misure non attuate: 0</w:t>
        <w:br/>
        <w:t/>
        <w:br/>
        <w:t xml:space="preserve">Di seguito si fornisce il dettaglio del monitoraggio per ogni singola misura di controllo programmata </w:t>
        <w:br/>
        <w:t/>
        <w:br/>
        <w:t>Area di rischio: D.3 Contratti pubblici - Selezione del contraente</w:t>
        <w:br/>
        <w:t>Denominazione misura: Affidamenti di importo superiore a € 5.000,00 ed inferiore a € 139.000 per forniture e servizi e di importo superiore a € 5.000,00 ed inferiore a € 150.000 per lavori</w:t>
        <w:br/>
        <w:t>La misura è stata attuata nei tempi previsti.</w:t>
        <w:br/>
        <w:t/>
        <w:br/>
        <w:t>Area di rischio: D.3 Contratti pubblici - Selezione del contraente</w:t>
        <w:br/>
        <w:t>Denominazione misura: Procedure finalizzate agli espropri, alle servitù ed alle occupazioni di aree interessate dall’esecuzione di lavori dichiarati di pubblica utilità</w:t>
        <w:br/>
        <w:t>La misura è stata attuata nei tempi previsti.</w:t>
        <w:br/>
        <w:t/>
        <w:br/>
        <w:t>Area di rischio: D.5 Contratti pubblici - Esecuzione</w:t>
        <w:br/>
        <w:t>Denominazione misura: Esecuzione dei contratti di affidamenti di Servizi e di Forniture di importo superiore a € 139.000,00 e di Lavori di importo superiore a € 150.000,00</w:t>
        <w:br/>
        <w:t>La misura è stata attuata nei tempi previsti.</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Non sono state programmate misure specifiche di trasparenza.</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Non sono state programmate misure specifiche di definizione e promozione dell’etica e di standard di comportamento.</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Non sono state programmate misure specifiche di regolamentazione.</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Non sono state programmate misure specifiche di formazione.</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Non sono state programmate misure specifiche di rotazione.</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Non sono state programmate misure specifiche di disciplina del conflitto di interessi.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